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0CE4" w:rsidRPr="00944F96" w:rsidRDefault="00470CE4" w:rsidP="00470CE4">
      <w:pPr>
        <w:spacing w:after="0"/>
        <w:rPr>
          <w:rFonts w:ascii="Cambria" w:hAnsi="Cambria" w:cs="Calibri"/>
          <w:b/>
        </w:rPr>
      </w:pPr>
      <w:r w:rsidRPr="00944F96">
        <w:rPr>
          <w:rFonts w:ascii="Cambria" w:hAnsi="Cambria" w:cs="Calibri"/>
          <w:b/>
        </w:rPr>
        <w:t xml:space="preserve">Program studiów 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3"/>
        <w:gridCol w:w="6946"/>
        <w:gridCol w:w="1134"/>
      </w:tblGrid>
      <w:tr w:rsidR="00470CE4" w:rsidRPr="00944F96" w:rsidTr="00CC283E">
        <w:trPr>
          <w:trHeight w:val="621"/>
        </w:trPr>
        <w:tc>
          <w:tcPr>
            <w:tcW w:w="643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  <w:b/>
              </w:rPr>
            </w:pPr>
            <w:r w:rsidRPr="00944F96">
              <w:rPr>
                <w:rFonts w:ascii="Cambria" w:hAnsi="Cambria" w:cs="Calibri"/>
                <w:b/>
              </w:rPr>
              <w:t>Lp.</w:t>
            </w:r>
          </w:p>
        </w:tc>
        <w:tc>
          <w:tcPr>
            <w:tcW w:w="6946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  <w:b/>
              </w:rPr>
            </w:pPr>
            <w:r w:rsidRPr="00944F96">
              <w:rPr>
                <w:rFonts w:ascii="Cambria" w:hAnsi="Cambria" w:cs="Calibri"/>
                <w:b/>
              </w:rPr>
              <w:t>Nazwa przedmiotu</w:t>
            </w:r>
          </w:p>
        </w:tc>
        <w:tc>
          <w:tcPr>
            <w:tcW w:w="1134" w:type="dxa"/>
            <w:shd w:val="clear" w:color="auto" w:fill="auto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  <w:b/>
              </w:rPr>
            </w:pPr>
            <w:r w:rsidRPr="00944F96">
              <w:rPr>
                <w:rFonts w:ascii="Cambria" w:hAnsi="Cambria" w:cs="Calibri"/>
                <w:b/>
              </w:rPr>
              <w:t>Liczba godzin</w:t>
            </w:r>
          </w:p>
        </w:tc>
      </w:tr>
      <w:tr w:rsidR="00470CE4" w:rsidRPr="00944F96" w:rsidTr="00CC283E">
        <w:tc>
          <w:tcPr>
            <w:tcW w:w="7589" w:type="dxa"/>
            <w:gridSpan w:val="2"/>
            <w:shd w:val="clear" w:color="auto" w:fill="auto"/>
            <w:vAlign w:val="center"/>
          </w:tcPr>
          <w:p w:rsidR="00470CE4" w:rsidRDefault="00470CE4" w:rsidP="00CC283E">
            <w:pPr>
              <w:spacing w:before="40" w:after="40" w:line="240" w:lineRule="auto"/>
              <w:jc w:val="center"/>
              <w:rPr>
                <w:rFonts w:ascii="Cambria" w:hAnsi="Cambria" w:cs="Calibri"/>
                <w:b/>
              </w:rPr>
            </w:pPr>
            <w:r w:rsidRPr="008D105A">
              <w:rPr>
                <w:rFonts w:ascii="Cambria" w:hAnsi="Cambria" w:cs="Calibri"/>
                <w:b/>
              </w:rPr>
              <w:t>Blok 1.</w:t>
            </w:r>
          </w:p>
          <w:p w:rsidR="00470CE4" w:rsidRPr="008D105A" w:rsidRDefault="00470CE4" w:rsidP="00CC283E">
            <w:pPr>
              <w:spacing w:before="40" w:after="40" w:line="240" w:lineRule="auto"/>
              <w:jc w:val="center"/>
              <w:rPr>
                <w:rFonts w:ascii="Cambria" w:hAnsi="Cambria" w:cs="Calibri"/>
                <w:b/>
              </w:rPr>
            </w:pPr>
            <w:r w:rsidRPr="008D105A">
              <w:rPr>
                <w:rFonts w:ascii="Cambria" w:hAnsi="Cambria" w:cs="Calibri"/>
                <w:b/>
              </w:rPr>
              <w:t>Prawo, system instytucjonalny Unii Europejskiej i procedury decyzyjne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Pr="00D15AE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  <w:b/>
              </w:rPr>
            </w:pPr>
            <w:r w:rsidRPr="00D15AE6">
              <w:rPr>
                <w:rFonts w:ascii="Cambria" w:hAnsi="Cambria" w:cs="Calibri"/>
                <w:b/>
              </w:rPr>
              <w:t>34</w:t>
            </w:r>
          </w:p>
        </w:tc>
      </w:tr>
      <w:tr w:rsidR="00470CE4" w:rsidRPr="00944F96" w:rsidTr="00CC283E">
        <w:tc>
          <w:tcPr>
            <w:tcW w:w="643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 w:rsidRPr="00944F96">
              <w:rPr>
                <w:rFonts w:ascii="Cambria" w:hAnsi="Cambria" w:cs="Calibri"/>
              </w:rPr>
              <w:t>1.</w:t>
            </w:r>
          </w:p>
        </w:tc>
        <w:tc>
          <w:tcPr>
            <w:tcW w:w="6946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 w:rsidRPr="008D105A">
              <w:rPr>
                <w:rFonts w:ascii="Cambria" w:hAnsi="Cambria" w:cs="Calibri"/>
              </w:rPr>
              <w:t>System instytucjonalny Unii Europejskiej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12</w:t>
            </w:r>
          </w:p>
        </w:tc>
      </w:tr>
      <w:tr w:rsidR="00470CE4" w:rsidRPr="00944F96" w:rsidTr="00CC283E">
        <w:tc>
          <w:tcPr>
            <w:tcW w:w="643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 w:rsidRPr="00944F96">
              <w:rPr>
                <w:rFonts w:ascii="Cambria" w:hAnsi="Cambria" w:cs="Calibri"/>
              </w:rPr>
              <w:t>2.</w:t>
            </w:r>
          </w:p>
        </w:tc>
        <w:tc>
          <w:tcPr>
            <w:tcW w:w="6946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 w:rsidRPr="008D105A">
              <w:rPr>
                <w:rFonts w:ascii="Cambria" w:hAnsi="Cambria" w:cs="Calibri"/>
              </w:rPr>
              <w:t>Porządek prawny Unii Europejskiej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16</w:t>
            </w:r>
          </w:p>
        </w:tc>
      </w:tr>
      <w:tr w:rsidR="00470CE4" w:rsidRPr="00944F96" w:rsidTr="00CC283E">
        <w:tc>
          <w:tcPr>
            <w:tcW w:w="643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 w:rsidRPr="00944F96">
              <w:rPr>
                <w:rFonts w:ascii="Cambria" w:hAnsi="Cambria" w:cs="Calibri"/>
              </w:rPr>
              <w:t>3.</w:t>
            </w:r>
          </w:p>
        </w:tc>
        <w:tc>
          <w:tcPr>
            <w:tcW w:w="6946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 w:rsidRPr="008D105A">
              <w:rPr>
                <w:rFonts w:ascii="Cambria" w:hAnsi="Cambria" w:cs="Calibri"/>
              </w:rPr>
              <w:t>Główne kierunki reformy Unii Europejskiej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6</w:t>
            </w:r>
          </w:p>
        </w:tc>
      </w:tr>
      <w:tr w:rsidR="00470CE4" w:rsidRPr="00944F96" w:rsidTr="00CC283E">
        <w:tc>
          <w:tcPr>
            <w:tcW w:w="7589" w:type="dxa"/>
            <w:gridSpan w:val="2"/>
            <w:shd w:val="clear" w:color="auto" w:fill="auto"/>
            <w:vAlign w:val="center"/>
          </w:tcPr>
          <w:p w:rsidR="00470CE4" w:rsidRDefault="00470CE4" w:rsidP="00CC283E">
            <w:pPr>
              <w:spacing w:before="40" w:after="40" w:line="240" w:lineRule="auto"/>
              <w:jc w:val="center"/>
              <w:rPr>
                <w:rFonts w:ascii="Cambria" w:hAnsi="Cambria" w:cs="Calibri"/>
                <w:b/>
              </w:rPr>
            </w:pPr>
            <w:r w:rsidRPr="008D105A">
              <w:rPr>
                <w:rFonts w:ascii="Cambria" w:hAnsi="Cambria" w:cs="Calibri"/>
                <w:b/>
              </w:rPr>
              <w:t>Blok 2.</w:t>
            </w:r>
          </w:p>
          <w:p w:rsidR="00470CE4" w:rsidRPr="008D105A" w:rsidRDefault="00470CE4" w:rsidP="00CC283E">
            <w:pPr>
              <w:spacing w:before="40" w:after="40" w:line="240" w:lineRule="auto"/>
              <w:jc w:val="center"/>
              <w:rPr>
                <w:rFonts w:ascii="Cambria" w:hAnsi="Cambria" w:cs="Calibri"/>
                <w:b/>
              </w:rPr>
            </w:pPr>
            <w:r>
              <w:rPr>
                <w:rFonts w:ascii="Cambria" w:hAnsi="Cambria" w:cs="Calibri"/>
                <w:b/>
              </w:rPr>
              <w:t>Implementacja p</w:t>
            </w:r>
            <w:r w:rsidRPr="008D105A">
              <w:rPr>
                <w:rFonts w:ascii="Cambria" w:hAnsi="Cambria" w:cs="Calibri"/>
                <w:b/>
              </w:rPr>
              <w:t>olityk Unii Europejskiej na poziomie europejskim i krajowym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Pr="00D15AE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  <w:b/>
              </w:rPr>
            </w:pPr>
            <w:r w:rsidRPr="00D15AE6">
              <w:rPr>
                <w:rFonts w:ascii="Cambria" w:hAnsi="Cambria" w:cs="Calibri"/>
                <w:b/>
              </w:rPr>
              <w:t>60</w:t>
            </w:r>
          </w:p>
        </w:tc>
      </w:tr>
      <w:tr w:rsidR="00470CE4" w:rsidRPr="00944F96" w:rsidTr="00CC283E">
        <w:tc>
          <w:tcPr>
            <w:tcW w:w="643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 w:rsidRPr="00944F96">
              <w:rPr>
                <w:rFonts w:ascii="Cambria" w:hAnsi="Cambria" w:cs="Calibri"/>
              </w:rPr>
              <w:t>4.</w:t>
            </w:r>
          </w:p>
        </w:tc>
        <w:tc>
          <w:tcPr>
            <w:tcW w:w="6946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 w:rsidRPr="008D105A">
              <w:rPr>
                <w:rFonts w:ascii="Cambria" w:hAnsi="Cambria" w:cs="Calibri"/>
              </w:rPr>
              <w:t>System finansowy UE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8</w:t>
            </w:r>
          </w:p>
        </w:tc>
      </w:tr>
      <w:tr w:rsidR="00470CE4" w:rsidRPr="00944F96" w:rsidTr="00CC283E">
        <w:tc>
          <w:tcPr>
            <w:tcW w:w="643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 w:rsidRPr="00944F96">
              <w:rPr>
                <w:rFonts w:ascii="Cambria" w:hAnsi="Cambria" w:cs="Calibri"/>
              </w:rPr>
              <w:t>5.</w:t>
            </w:r>
          </w:p>
        </w:tc>
        <w:tc>
          <w:tcPr>
            <w:tcW w:w="6946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 w:rsidRPr="008D105A">
              <w:rPr>
                <w:rFonts w:ascii="Cambria" w:hAnsi="Cambria" w:cs="Calibri"/>
              </w:rPr>
              <w:t>Funkcjonowanie strefy euro - teoria i praktyka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12</w:t>
            </w:r>
          </w:p>
        </w:tc>
      </w:tr>
      <w:tr w:rsidR="00470CE4" w:rsidRPr="00944F96" w:rsidTr="00CC283E">
        <w:tc>
          <w:tcPr>
            <w:tcW w:w="643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 w:rsidRPr="00944F96">
              <w:rPr>
                <w:rFonts w:ascii="Cambria" w:hAnsi="Cambria" w:cs="Calibri"/>
              </w:rPr>
              <w:t>6.</w:t>
            </w:r>
          </w:p>
        </w:tc>
        <w:tc>
          <w:tcPr>
            <w:tcW w:w="6946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 w:rsidRPr="008D105A">
              <w:rPr>
                <w:rFonts w:ascii="Cambria" w:hAnsi="Cambria" w:cs="Calibri"/>
              </w:rPr>
              <w:t>Polityka spójności UE i jej implementacja. Programowanie funduszy europejskich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12</w:t>
            </w:r>
          </w:p>
        </w:tc>
      </w:tr>
      <w:tr w:rsidR="00470CE4" w:rsidRPr="00944F96" w:rsidTr="00CC283E">
        <w:tc>
          <w:tcPr>
            <w:tcW w:w="643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 w:rsidRPr="00944F96">
              <w:rPr>
                <w:rFonts w:ascii="Cambria" w:hAnsi="Cambria" w:cs="Calibri"/>
              </w:rPr>
              <w:t>7.</w:t>
            </w:r>
          </w:p>
        </w:tc>
        <w:tc>
          <w:tcPr>
            <w:tcW w:w="6946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 w:rsidRPr="008D105A">
              <w:rPr>
                <w:rFonts w:ascii="Cambria" w:hAnsi="Cambria" w:cs="Calibri"/>
              </w:rPr>
              <w:t>Wspólny rynek Unii Europejskiej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14</w:t>
            </w:r>
          </w:p>
        </w:tc>
      </w:tr>
      <w:tr w:rsidR="00470CE4" w:rsidRPr="00944F96" w:rsidTr="00CC283E">
        <w:tc>
          <w:tcPr>
            <w:tcW w:w="643" w:type="dxa"/>
            <w:vMerge w:val="restart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W tym:</w:t>
            </w:r>
          </w:p>
        </w:tc>
        <w:tc>
          <w:tcPr>
            <w:tcW w:w="6946" w:type="dxa"/>
            <w:shd w:val="clear" w:color="auto" w:fill="auto"/>
            <w:vAlign w:val="center"/>
          </w:tcPr>
          <w:p w:rsidR="00470CE4" w:rsidRPr="00EB65A0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a. Zasady funkcjonowania i swobody przepływu na jednolitym rynku europejskim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2</w:t>
            </w:r>
          </w:p>
        </w:tc>
      </w:tr>
      <w:tr w:rsidR="00470CE4" w:rsidRPr="00944F96" w:rsidTr="00CC283E">
        <w:tc>
          <w:tcPr>
            <w:tcW w:w="643" w:type="dxa"/>
            <w:vMerge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</w:p>
        </w:tc>
        <w:tc>
          <w:tcPr>
            <w:tcW w:w="6946" w:type="dxa"/>
            <w:shd w:val="clear" w:color="auto" w:fill="auto"/>
            <w:vAlign w:val="center"/>
          </w:tcPr>
          <w:p w:rsidR="00470CE4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b. Funkcjonowanie unii celnej w praktyce – procedury celne w UE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2</w:t>
            </w:r>
          </w:p>
        </w:tc>
      </w:tr>
      <w:tr w:rsidR="00470CE4" w:rsidRPr="00944F96" w:rsidTr="00CC283E">
        <w:tc>
          <w:tcPr>
            <w:tcW w:w="643" w:type="dxa"/>
            <w:vMerge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</w:p>
        </w:tc>
        <w:tc>
          <w:tcPr>
            <w:tcW w:w="6946" w:type="dxa"/>
            <w:shd w:val="clear" w:color="auto" w:fill="auto"/>
            <w:vAlign w:val="center"/>
          </w:tcPr>
          <w:p w:rsidR="00470CE4" w:rsidRPr="008D105A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c. Swoboda przepływu pracowników w Unii Europejskiej i rynki pracy w Europie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2</w:t>
            </w:r>
          </w:p>
        </w:tc>
      </w:tr>
      <w:tr w:rsidR="00470CE4" w:rsidRPr="00944F96" w:rsidTr="00CC283E">
        <w:tc>
          <w:tcPr>
            <w:tcW w:w="643" w:type="dxa"/>
            <w:vMerge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</w:p>
        </w:tc>
        <w:tc>
          <w:tcPr>
            <w:tcW w:w="6946" w:type="dxa"/>
            <w:shd w:val="clear" w:color="auto" w:fill="auto"/>
            <w:vAlign w:val="center"/>
          </w:tcPr>
          <w:p w:rsidR="00470CE4" w:rsidRPr="008D105A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d. Swoboda świadczenia usług w Unii Europejskiej – problemy implementacji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2</w:t>
            </w:r>
          </w:p>
        </w:tc>
      </w:tr>
      <w:tr w:rsidR="00470CE4" w:rsidRPr="00944F96" w:rsidTr="00CC283E">
        <w:tc>
          <w:tcPr>
            <w:tcW w:w="643" w:type="dxa"/>
            <w:vMerge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</w:p>
        </w:tc>
        <w:tc>
          <w:tcPr>
            <w:tcW w:w="6946" w:type="dxa"/>
            <w:shd w:val="clear" w:color="auto" w:fill="auto"/>
            <w:vAlign w:val="center"/>
          </w:tcPr>
          <w:p w:rsidR="00470CE4" w:rsidRPr="008D105A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e. Polityka konkurencji w Unii Europejskiej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2</w:t>
            </w:r>
          </w:p>
        </w:tc>
      </w:tr>
      <w:tr w:rsidR="00470CE4" w:rsidRPr="00944F96" w:rsidTr="00CC283E">
        <w:tc>
          <w:tcPr>
            <w:tcW w:w="643" w:type="dxa"/>
            <w:vMerge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</w:p>
        </w:tc>
        <w:tc>
          <w:tcPr>
            <w:tcW w:w="6946" w:type="dxa"/>
            <w:shd w:val="clear" w:color="auto" w:fill="auto"/>
            <w:vAlign w:val="center"/>
          </w:tcPr>
          <w:p w:rsidR="00470CE4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f. Ochrona konsumenta w Unii Europejskiej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4</w:t>
            </w:r>
          </w:p>
        </w:tc>
      </w:tr>
      <w:tr w:rsidR="00470CE4" w:rsidRPr="00944F96" w:rsidTr="00CC283E">
        <w:tc>
          <w:tcPr>
            <w:tcW w:w="643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 w:rsidRPr="00944F96">
              <w:rPr>
                <w:rFonts w:ascii="Cambria" w:hAnsi="Cambria" w:cs="Calibri"/>
              </w:rPr>
              <w:t>8.</w:t>
            </w:r>
          </w:p>
        </w:tc>
        <w:tc>
          <w:tcPr>
            <w:tcW w:w="6946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 w:rsidRPr="008D105A">
              <w:rPr>
                <w:rFonts w:ascii="Cambria" w:hAnsi="Cambria" w:cs="Calibri"/>
              </w:rPr>
              <w:t>Wybrane polityki UE i ich implementacja na poziomie europejskim i krajowym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14</w:t>
            </w:r>
          </w:p>
        </w:tc>
      </w:tr>
      <w:tr w:rsidR="00470CE4" w:rsidRPr="00944F96" w:rsidTr="00CC283E">
        <w:tc>
          <w:tcPr>
            <w:tcW w:w="643" w:type="dxa"/>
            <w:vMerge w:val="restart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W tym:</w:t>
            </w:r>
          </w:p>
        </w:tc>
        <w:tc>
          <w:tcPr>
            <w:tcW w:w="6946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 xml:space="preserve">a. </w:t>
            </w:r>
            <w:r w:rsidRPr="008D105A">
              <w:rPr>
                <w:rFonts w:ascii="Cambria" w:hAnsi="Cambria" w:cs="Calibri"/>
              </w:rPr>
              <w:t>Wprowadzenie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2</w:t>
            </w:r>
          </w:p>
        </w:tc>
      </w:tr>
      <w:tr w:rsidR="00470CE4" w:rsidRPr="00944F96" w:rsidTr="00CC283E">
        <w:tc>
          <w:tcPr>
            <w:tcW w:w="643" w:type="dxa"/>
            <w:vMerge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</w:p>
        </w:tc>
        <w:tc>
          <w:tcPr>
            <w:tcW w:w="6946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b. Polityka zatrudnienia i</w:t>
            </w:r>
            <w:r w:rsidRPr="008D105A">
              <w:rPr>
                <w:rFonts w:ascii="Cambria" w:hAnsi="Cambria" w:cs="Calibri"/>
              </w:rPr>
              <w:t xml:space="preserve"> rynki pracy</w:t>
            </w:r>
            <w:r>
              <w:rPr>
                <w:rFonts w:ascii="Cambria" w:hAnsi="Cambria" w:cs="Calibri"/>
              </w:rPr>
              <w:t xml:space="preserve"> w Unii Europejskiej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2</w:t>
            </w:r>
          </w:p>
        </w:tc>
      </w:tr>
      <w:tr w:rsidR="00470CE4" w:rsidRPr="00944F96" w:rsidTr="00CC283E">
        <w:tc>
          <w:tcPr>
            <w:tcW w:w="643" w:type="dxa"/>
            <w:vMerge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</w:p>
        </w:tc>
        <w:tc>
          <w:tcPr>
            <w:tcW w:w="6946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 xml:space="preserve">c. </w:t>
            </w:r>
            <w:r w:rsidRPr="008D105A">
              <w:rPr>
                <w:rFonts w:ascii="Cambria" w:hAnsi="Cambria" w:cs="Calibri"/>
              </w:rPr>
              <w:t>Wspieranie innowacyjności w UE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4</w:t>
            </w:r>
          </w:p>
        </w:tc>
      </w:tr>
      <w:tr w:rsidR="00470CE4" w:rsidRPr="00944F96" w:rsidTr="00CC283E">
        <w:tc>
          <w:tcPr>
            <w:tcW w:w="643" w:type="dxa"/>
            <w:vMerge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</w:p>
        </w:tc>
        <w:tc>
          <w:tcPr>
            <w:tcW w:w="6946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d. Wspólna polityka rolna i jej</w:t>
            </w:r>
            <w:r w:rsidRPr="008D105A">
              <w:rPr>
                <w:rFonts w:ascii="Cambria" w:hAnsi="Cambria" w:cs="Calibri"/>
              </w:rPr>
              <w:t xml:space="preserve"> funkcjonowanie</w:t>
            </w:r>
            <w:r>
              <w:rPr>
                <w:rFonts w:ascii="Cambria" w:hAnsi="Cambria" w:cs="Calibri"/>
              </w:rPr>
              <w:t xml:space="preserve"> w praktyce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2</w:t>
            </w:r>
          </w:p>
        </w:tc>
      </w:tr>
      <w:tr w:rsidR="00470CE4" w:rsidRPr="00944F96" w:rsidTr="00CC283E">
        <w:tc>
          <w:tcPr>
            <w:tcW w:w="643" w:type="dxa"/>
            <w:vMerge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</w:p>
        </w:tc>
        <w:tc>
          <w:tcPr>
            <w:tcW w:w="6946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 xml:space="preserve">e. </w:t>
            </w:r>
            <w:r w:rsidRPr="008D105A">
              <w:rPr>
                <w:rFonts w:ascii="Cambria" w:hAnsi="Cambria" w:cs="Calibri"/>
              </w:rPr>
              <w:t>Polityka energetyczna i wspólny rynek energii</w:t>
            </w:r>
            <w:r>
              <w:rPr>
                <w:rFonts w:ascii="Cambria" w:hAnsi="Cambria" w:cs="Calibri"/>
              </w:rPr>
              <w:t xml:space="preserve"> w UE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2</w:t>
            </w:r>
          </w:p>
        </w:tc>
      </w:tr>
      <w:tr w:rsidR="00470CE4" w:rsidRPr="00944F96" w:rsidTr="00CC283E">
        <w:tc>
          <w:tcPr>
            <w:tcW w:w="643" w:type="dxa"/>
            <w:vMerge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</w:p>
        </w:tc>
        <w:tc>
          <w:tcPr>
            <w:tcW w:w="6946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f. Polityka klimatyczna i ochrona środowiska w UE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2</w:t>
            </w:r>
          </w:p>
        </w:tc>
      </w:tr>
      <w:tr w:rsidR="00470CE4" w:rsidRPr="00944F96" w:rsidTr="00CC283E">
        <w:tc>
          <w:tcPr>
            <w:tcW w:w="7589" w:type="dxa"/>
            <w:gridSpan w:val="2"/>
            <w:shd w:val="clear" w:color="auto" w:fill="auto"/>
            <w:vAlign w:val="center"/>
          </w:tcPr>
          <w:p w:rsidR="00470CE4" w:rsidRDefault="00470CE4" w:rsidP="00CC283E">
            <w:pPr>
              <w:spacing w:before="40" w:after="40" w:line="240" w:lineRule="auto"/>
              <w:jc w:val="center"/>
              <w:rPr>
                <w:rFonts w:ascii="Cambria" w:hAnsi="Cambria" w:cs="Calibri"/>
                <w:b/>
              </w:rPr>
            </w:pPr>
            <w:r>
              <w:rPr>
                <w:rFonts w:ascii="Cambria" w:hAnsi="Cambria" w:cs="Calibri"/>
                <w:b/>
              </w:rPr>
              <w:t>Blok 3</w:t>
            </w:r>
            <w:r w:rsidRPr="008D105A">
              <w:rPr>
                <w:rFonts w:ascii="Cambria" w:hAnsi="Cambria" w:cs="Calibri"/>
                <w:b/>
              </w:rPr>
              <w:t>.</w:t>
            </w:r>
          </w:p>
          <w:p w:rsidR="00470CE4" w:rsidRDefault="00470CE4" w:rsidP="00CC283E">
            <w:pPr>
              <w:spacing w:before="40" w:after="40" w:line="240" w:lineRule="auto"/>
              <w:jc w:val="center"/>
              <w:rPr>
                <w:rFonts w:ascii="Cambria" w:hAnsi="Cambria" w:cs="Calibri"/>
              </w:rPr>
            </w:pPr>
            <w:r w:rsidRPr="00D15AE6">
              <w:rPr>
                <w:rFonts w:ascii="Cambria" w:hAnsi="Cambria" w:cs="Calibri"/>
                <w:b/>
              </w:rPr>
              <w:t>Pols</w:t>
            </w:r>
            <w:r>
              <w:rPr>
                <w:rFonts w:ascii="Cambria" w:hAnsi="Cambria" w:cs="Calibri"/>
                <w:b/>
              </w:rPr>
              <w:t xml:space="preserve">ka administracja </w:t>
            </w:r>
            <w:r w:rsidRPr="00D15AE6">
              <w:rPr>
                <w:rFonts w:ascii="Cambria" w:hAnsi="Cambria" w:cs="Calibri"/>
                <w:b/>
              </w:rPr>
              <w:t>w zjednoczonej Europie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Pr="00D15AE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  <w:b/>
              </w:rPr>
            </w:pPr>
            <w:r w:rsidRPr="00D15AE6">
              <w:rPr>
                <w:rFonts w:ascii="Cambria" w:hAnsi="Cambria" w:cs="Calibri"/>
                <w:b/>
              </w:rPr>
              <w:t>28</w:t>
            </w:r>
          </w:p>
        </w:tc>
      </w:tr>
      <w:tr w:rsidR="00470CE4" w:rsidRPr="00944F96" w:rsidTr="00CC283E">
        <w:tc>
          <w:tcPr>
            <w:tcW w:w="643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9</w:t>
            </w:r>
            <w:r w:rsidRPr="00944F96">
              <w:rPr>
                <w:rFonts w:ascii="Cambria" w:hAnsi="Cambria" w:cs="Calibri"/>
              </w:rPr>
              <w:t>.</w:t>
            </w:r>
            <w:r>
              <w:rPr>
                <w:rFonts w:ascii="Cambria" w:hAnsi="Cambria" w:cs="Calibri"/>
              </w:rPr>
              <w:t xml:space="preserve"> </w:t>
            </w:r>
          </w:p>
        </w:tc>
        <w:tc>
          <w:tcPr>
            <w:tcW w:w="6946" w:type="dxa"/>
            <w:shd w:val="clear" w:color="auto" w:fill="auto"/>
            <w:vAlign w:val="center"/>
          </w:tcPr>
          <w:p w:rsidR="00470CE4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 w:rsidRPr="00D15AE6">
              <w:rPr>
                <w:rFonts w:ascii="Cambria" w:hAnsi="Cambria" w:cs="Calibri"/>
              </w:rPr>
              <w:t>JST jako beneficjenci funduszy europejskich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10</w:t>
            </w:r>
          </w:p>
        </w:tc>
      </w:tr>
      <w:tr w:rsidR="00470CE4" w:rsidRPr="00944F96" w:rsidTr="00CC283E">
        <w:tc>
          <w:tcPr>
            <w:tcW w:w="643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10</w:t>
            </w:r>
            <w:r w:rsidRPr="00944F96">
              <w:rPr>
                <w:rFonts w:ascii="Cambria" w:hAnsi="Cambria" w:cs="Calibri"/>
              </w:rPr>
              <w:t>.</w:t>
            </w:r>
          </w:p>
        </w:tc>
        <w:tc>
          <w:tcPr>
            <w:tcW w:w="6946" w:type="dxa"/>
            <w:shd w:val="clear" w:color="auto" w:fill="auto"/>
            <w:vAlign w:val="center"/>
          </w:tcPr>
          <w:p w:rsidR="00470CE4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 w:rsidRPr="00D15AE6">
              <w:rPr>
                <w:rFonts w:ascii="Cambria" w:hAnsi="Cambria" w:cs="Calibri"/>
              </w:rPr>
              <w:t>Polska administracja jako partner instytucji UE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10</w:t>
            </w:r>
          </w:p>
        </w:tc>
      </w:tr>
      <w:tr w:rsidR="00470CE4" w:rsidRPr="00944F96" w:rsidTr="00CC283E">
        <w:tc>
          <w:tcPr>
            <w:tcW w:w="643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11</w:t>
            </w:r>
            <w:r w:rsidRPr="00944F96">
              <w:rPr>
                <w:rFonts w:ascii="Cambria" w:hAnsi="Cambria" w:cs="Calibri"/>
              </w:rPr>
              <w:t>.</w:t>
            </w:r>
          </w:p>
        </w:tc>
        <w:tc>
          <w:tcPr>
            <w:tcW w:w="6946" w:type="dxa"/>
            <w:shd w:val="clear" w:color="auto" w:fill="auto"/>
            <w:vAlign w:val="center"/>
          </w:tcPr>
          <w:p w:rsidR="00470CE4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 w:rsidRPr="00D15AE6">
              <w:rPr>
                <w:rFonts w:ascii="Cambria" w:hAnsi="Cambria" w:cs="Calibri"/>
              </w:rPr>
              <w:t>Współpraca międzynarodowa polskiej administracji w Unii Europejskiej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8</w:t>
            </w:r>
          </w:p>
        </w:tc>
      </w:tr>
      <w:tr w:rsidR="00470CE4" w:rsidRPr="00944F96" w:rsidTr="00CC283E">
        <w:tc>
          <w:tcPr>
            <w:tcW w:w="7589" w:type="dxa"/>
            <w:gridSpan w:val="2"/>
            <w:shd w:val="clear" w:color="auto" w:fill="auto"/>
            <w:vAlign w:val="center"/>
          </w:tcPr>
          <w:p w:rsidR="00470CE4" w:rsidRDefault="00470CE4" w:rsidP="00CC283E">
            <w:pPr>
              <w:spacing w:before="40" w:after="40" w:line="240" w:lineRule="auto"/>
              <w:jc w:val="center"/>
              <w:rPr>
                <w:rFonts w:ascii="Cambria" w:hAnsi="Cambria" w:cs="Calibri"/>
                <w:b/>
              </w:rPr>
            </w:pPr>
            <w:r>
              <w:rPr>
                <w:rFonts w:ascii="Cambria" w:hAnsi="Cambria" w:cs="Calibri"/>
                <w:b/>
              </w:rPr>
              <w:t>Blok 4</w:t>
            </w:r>
            <w:r w:rsidRPr="008D105A">
              <w:rPr>
                <w:rFonts w:ascii="Cambria" w:hAnsi="Cambria" w:cs="Calibri"/>
                <w:b/>
              </w:rPr>
              <w:t>.</w:t>
            </w:r>
          </w:p>
          <w:p w:rsidR="00470CE4" w:rsidRDefault="00470CE4" w:rsidP="00CC283E">
            <w:pPr>
              <w:spacing w:before="40" w:after="40" w:line="240" w:lineRule="auto"/>
              <w:jc w:val="center"/>
              <w:rPr>
                <w:rFonts w:ascii="Cambria" w:hAnsi="Cambria" w:cs="Calibri"/>
              </w:rPr>
            </w:pPr>
            <w:r w:rsidRPr="00D15AE6">
              <w:rPr>
                <w:rFonts w:ascii="Cambria" w:hAnsi="Cambria" w:cs="Calibri"/>
                <w:b/>
              </w:rPr>
              <w:t>Praktyczne przygotowanie do procesu rekrutacji na stanowiska w administracji UE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Pr="00D15AE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  <w:b/>
              </w:rPr>
            </w:pPr>
            <w:r w:rsidRPr="00D15AE6">
              <w:rPr>
                <w:rFonts w:ascii="Cambria" w:hAnsi="Cambria" w:cs="Calibri"/>
                <w:b/>
              </w:rPr>
              <w:t>58</w:t>
            </w:r>
          </w:p>
        </w:tc>
      </w:tr>
      <w:tr w:rsidR="00470CE4" w:rsidRPr="00944F96" w:rsidTr="00CC283E">
        <w:tc>
          <w:tcPr>
            <w:tcW w:w="643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12.</w:t>
            </w:r>
          </w:p>
        </w:tc>
        <w:tc>
          <w:tcPr>
            <w:tcW w:w="6946" w:type="dxa"/>
            <w:shd w:val="clear" w:color="auto" w:fill="auto"/>
            <w:vAlign w:val="center"/>
          </w:tcPr>
          <w:p w:rsidR="00470CE4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 w:rsidRPr="00D15AE6">
              <w:rPr>
                <w:rFonts w:ascii="Cambria" w:hAnsi="Cambria" w:cs="Calibri"/>
              </w:rPr>
              <w:t>Procedury rekrutacy</w:t>
            </w:r>
            <w:r>
              <w:rPr>
                <w:rFonts w:ascii="Cambria" w:hAnsi="Cambria" w:cs="Calibri"/>
              </w:rPr>
              <w:t>jne do instytucji UE i specyfika</w:t>
            </w:r>
            <w:r w:rsidRPr="00D15AE6">
              <w:rPr>
                <w:rFonts w:ascii="Cambria" w:hAnsi="Cambria" w:cs="Calibri"/>
              </w:rPr>
              <w:t xml:space="preserve"> konkursów EPSO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4</w:t>
            </w:r>
          </w:p>
        </w:tc>
      </w:tr>
      <w:tr w:rsidR="00470CE4" w:rsidRPr="00944F96" w:rsidTr="00CC283E">
        <w:tc>
          <w:tcPr>
            <w:tcW w:w="643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13.</w:t>
            </w:r>
          </w:p>
        </w:tc>
        <w:tc>
          <w:tcPr>
            <w:tcW w:w="6946" w:type="dxa"/>
            <w:shd w:val="clear" w:color="auto" w:fill="auto"/>
            <w:vAlign w:val="center"/>
          </w:tcPr>
          <w:p w:rsidR="00470CE4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 w:rsidRPr="00D15AE6">
              <w:rPr>
                <w:rFonts w:ascii="Cambria" w:hAnsi="Cambria" w:cs="Calibri"/>
              </w:rPr>
              <w:t xml:space="preserve">Ocena sytuacji i </w:t>
            </w:r>
            <w:proofErr w:type="spellStart"/>
            <w:r w:rsidRPr="00D15AE6">
              <w:rPr>
                <w:rFonts w:ascii="Cambria" w:hAnsi="Cambria" w:cs="Calibri"/>
              </w:rPr>
              <w:t>assesment</w:t>
            </w:r>
            <w:proofErr w:type="spellEnd"/>
            <w:r w:rsidRPr="00D15AE6">
              <w:rPr>
                <w:rFonts w:ascii="Cambria" w:hAnsi="Cambria" w:cs="Calibri"/>
              </w:rPr>
              <w:t xml:space="preserve"> </w:t>
            </w:r>
            <w:proofErr w:type="spellStart"/>
            <w:r w:rsidRPr="00D15AE6">
              <w:rPr>
                <w:rFonts w:ascii="Cambria" w:hAnsi="Cambria" w:cs="Calibri"/>
              </w:rPr>
              <w:t>centre</w:t>
            </w:r>
            <w:proofErr w:type="spellEnd"/>
            <w:r w:rsidRPr="00D15AE6">
              <w:rPr>
                <w:rFonts w:ascii="Cambria" w:hAnsi="Cambria" w:cs="Calibri"/>
              </w:rPr>
              <w:t xml:space="preserve"> z uwzględnieniem specyfiki konkursu EPSO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18</w:t>
            </w:r>
          </w:p>
        </w:tc>
      </w:tr>
      <w:tr w:rsidR="00470CE4" w:rsidRPr="00944F96" w:rsidTr="00CC283E">
        <w:tc>
          <w:tcPr>
            <w:tcW w:w="643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14.</w:t>
            </w:r>
          </w:p>
        </w:tc>
        <w:tc>
          <w:tcPr>
            <w:tcW w:w="6946" w:type="dxa"/>
            <w:shd w:val="clear" w:color="auto" w:fill="auto"/>
            <w:vAlign w:val="center"/>
          </w:tcPr>
          <w:p w:rsidR="00470CE4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 w:rsidRPr="00D15AE6">
              <w:rPr>
                <w:rFonts w:ascii="Cambria" w:hAnsi="Cambria" w:cs="Calibri"/>
              </w:rPr>
              <w:t>Logika praktyczna - rozumowanie werbalne, numeryczne, abstrakcyjne z uwzględnieniem specyfiki konkursów EPSO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16</w:t>
            </w:r>
          </w:p>
        </w:tc>
      </w:tr>
      <w:tr w:rsidR="00470CE4" w:rsidRPr="00944F96" w:rsidTr="00CC283E">
        <w:trPr>
          <w:trHeight w:val="70"/>
        </w:trPr>
        <w:tc>
          <w:tcPr>
            <w:tcW w:w="643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15.</w:t>
            </w:r>
          </w:p>
        </w:tc>
        <w:tc>
          <w:tcPr>
            <w:tcW w:w="6946" w:type="dxa"/>
            <w:shd w:val="clear" w:color="auto" w:fill="auto"/>
            <w:vAlign w:val="center"/>
          </w:tcPr>
          <w:p w:rsidR="00470CE4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 w:rsidRPr="00D15AE6">
              <w:rPr>
                <w:rFonts w:ascii="Cambria" w:hAnsi="Cambria" w:cs="Calibri"/>
              </w:rPr>
              <w:t xml:space="preserve">Język angielski w instytucjach </w:t>
            </w:r>
            <w:r>
              <w:rPr>
                <w:rFonts w:ascii="Cambria" w:hAnsi="Cambria" w:cs="Calibri"/>
              </w:rPr>
              <w:t>i</w:t>
            </w:r>
            <w:r w:rsidRPr="00D15AE6">
              <w:rPr>
                <w:rFonts w:ascii="Cambria" w:hAnsi="Cambria" w:cs="Calibri"/>
              </w:rPr>
              <w:t xml:space="preserve"> w procesie rekrutacji do instytucji UE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14</w:t>
            </w:r>
          </w:p>
        </w:tc>
      </w:tr>
      <w:tr w:rsidR="00470CE4" w:rsidRPr="00944F96" w:rsidTr="00CC283E">
        <w:tc>
          <w:tcPr>
            <w:tcW w:w="643" w:type="dxa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16.</w:t>
            </w:r>
          </w:p>
        </w:tc>
        <w:tc>
          <w:tcPr>
            <w:tcW w:w="6946" w:type="dxa"/>
            <w:shd w:val="clear" w:color="auto" w:fill="auto"/>
            <w:vAlign w:val="center"/>
          </w:tcPr>
          <w:p w:rsidR="00470CE4" w:rsidRDefault="00470CE4" w:rsidP="00CC283E">
            <w:pPr>
              <w:spacing w:after="0" w:line="240" w:lineRule="auto"/>
              <w:rPr>
                <w:rFonts w:ascii="Cambria" w:hAnsi="Cambria" w:cs="Calibri"/>
              </w:rPr>
            </w:pPr>
            <w:r w:rsidRPr="00D15AE6">
              <w:rPr>
                <w:rFonts w:ascii="Cambria" w:hAnsi="Cambria" w:cs="Calibri"/>
              </w:rPr>
              <w:t>Protokół dyplomatyczny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6</w:t>
            </w:r>
          </w:p>
        </w:tc>
      </w:tr>
      <w:tr w:rsidR="00470CE4" w:rsidRPr="00944F96" w:rsidTr="00CC283E">
        <w:tc>
          <w:tcPr>
            <w:tcW w:w="7589" w:type="dxa"/>
            <w:gridSpan w:val="2"/>
            <w:shd w:val="clear" w:color="auto" w:fill="auto"/>
            <w:vAlign w:val="center"/>
          </w:tcPr>
          <w:p w:rsidR="00470CE4" w:rsidRPr="00944F96" w:rsidRDefault="00470CE4" w:rsidP="00CC283E">
            <w:pPr>
              <w:spacing w:after="0" w:line="240" w:lineRule="auto"/>
              <w:jc w:val="right"/>
              <w:rPr>
                <w:rFonts w:ascii="Cambria" w:hAnsi="Cambria" w:cs="Calibri"/>
                <w:b/>
              </w:rPr>
            </w:pPr>
            <w:r w:rsidRPr="00944F96">
              <w:rPr>
                <w:rFonts w:ascii="Cambria" w:hAnsi="Cambria" w:cs="Calibri"/>
                <w:b/>
              </w:rPr>
              <w:t>RAZEM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0CE4" w:rsidRPr="00D15AE6" w:rsidRDefault="00470CE4" w:rsidP="00CC283E">
            <w:pPr>
              <w:spacing w:after="0" w:line="240" w:lineRule="auto"/>
              <w:jc w:val="center"/>
              <w:rPr>
                <w:rFonts w:ascii="Cambria" w:hAnsi="Cambria" w:cs="Calibri"/>
                <w:b/>
              </w:rPr>
            </w:pPr>
            <w:r w:rsidRPr="00D15AE6">
              <w:rPr>
                <w:rFonts w:ascii="Cambria" w:hAnsi="Cambria" w:cs="Calibri"/>
                <w:b/>
              </w:rPr>
              <w:t>180</w:t>
            </w:r>
          </w:p>
        </w:tc>
      </w:tr>
    </w:tbl>
    <w:p w:rsidR="009B7510" w:rsidRPr="00440695" w:rsidRDefault="00440695">
      <w:pPr>
        <w:rPr>
          <w:sz w:val="2"/>
          <w:szCs w:val="2"/>
        </w:rPr>
      </w:pPr>
      <w:bookmarkStart w:id="0" w:name="_GoBack"/>
      <w:bookmarkEnd w:id="0"/>
    </w:p>
    <w:sectPr w:rsidR="009B7510" w:rsidRPr="004406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CE4"/>
    <w:rsid w:val="002261DE"/>
    <w:rsid w:val="00440695"/>
    <w:rsid w:val="00470CE4"/>
    <w:rsid w:val="00565204"/>
    <w:rsid w:val="00597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7095B9-16BD-4629-BA9A-FCA11FCF5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70CE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26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61D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297</Words>
  <Characters>1786</Characters>
  <Application>Microsoft Office Word</Application>
  <DocSecurity>0</DocSecurity>
  <Lines>14</Lines>
  <Paragraphs>4</Paragraphs>
  <ScaleCrop>false</ScaleCrop>
  <Company>Microsoft</Company>
  <LinksUpToDate>false</LinksUpToDate>
  <CharactersWithSpaces>2079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2016-06-16T09:22:00Z</cp:lastPrinted>
  <dcterms:created xsi:type="dcterms:W3CDTF">2016-06-16T09:16:00Z</dcterms:created>
  <dcterms:modified xsi:type="dcterms:W3CDTF">2016-06-16T09:38:00Z</dcterms:modified>
</cp:coreProperties>
</file>